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7F4CD">
      <w:pPr>
        <w:pStyle w:val="2"/>
        <w:spacing w:before="0" w:after="120"/>
        <w:jc w:val="center"/>
        <w:rPr>
          <w:rFonts w:hint="eastAsia" w:ascii="Times New Roman" w:hAnsi="Times New Roman" w:eastAsia="仿宋" w:cs="楷体"/>
          <w:szCs w:val="32"/>
        </w:rPr>
      </w:pPr>
      <w:r>
        <w:rPr>
          <w:rFonts w:hint="eastAsia" w:ascii="黑体" w:hAnsi="黑体" w:eastAsia="黑体" w:cs="黑体"/>
          <w:sz w:val="40"/>
          <w:szCs w:val="40"/>
        </w:rPr>
        <w:t>主要研究者责任声明</w:t>
      </w:r>
    </w:p>
    <w:p w14:paraId="2CF05C6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我负责的项目名称是_______________________________________，承担科室______________，在实施此临床研究过程中我将遵照以下执行：</w:t>
      </w:r>
    </w:p>
    <w:p w14:paraId="44FCE42D">
      <w:pPr>
        <w:pStyle w:val="5"/>
        <w:numPr>
          <w:ilvl w:val="0"/>
          <w:numId w:val="0"/>
        </w:numPr>
        <w:spacing w:before="0" w:beforeAutospacing="0" w:after="0" w:afterAutospacing="0" w:line="360" w:lineRule="auto"/>
        <w:jc w:val="both"/>
        <w:rPr>
          <w:rFonts w:hint="eastAsia" w:ascii="宋体" w:hAnsi="宋体" w:eastAsia="宋体" w:cs="宋体"/>
          <w:spacing w:val="-1"/>
          <w:sz w:val="24"/>
          <w:szCs w:val="24"/>
        </w:rPr>
      </w:pPr>
      <w:r>
        <w:rPr>
          <w:rFonts w:hint="eastAsia" w:cs="宋体"/>
          <w:spacing w:val="3"/>
          <w:sz w:val="24"/>
          <w:szCs w:val="24"/>
          <w:lang w:val="en-US" w:eastAsia="zh-CN"/>
        </w:rPr>
        <w:t>1.</w:t>
      </w:r>
      <w:r>
        <w:rPr>
          <w:rFonts w:hint="eastAsia" w:ascii="宋体" w:hAnsi="宋体" w:eastAsia="宋体" w:cs="宋体"/>
          <w:spacing w:val="3"/>
          <w:sz w:val="24"/>
          <w:szCs w:val="24"/>
        </w:rPr>
        <w:t>遵守《涉及人的生物医学研究伦理审查办法》、《涉及人的生命科学和医</w:t>
      </w:r>
      <w:r>
        <w:rPr>
          <w:rFonts w:hint="eastAsia" w:ascii="宋体" w:hAnsi="宋体" w:eastAsia="宋体" w:cs="宋体"/>
          <w:spacing w:val="2"/>
          <w:sz w:val="24"/>
          <w:szCs w:val="24"/>
        </w:rPr>
        <w:t>学研究伦理</w:t>
      </w:r>
      <w:r>
        <w:rPr>
          <w:rFonts w:hint="eastAsia" w:ascii="宋体" w:hAnsi="宋体" w:eastAsia="宋体" w:cs="宋体"/>
          <w:spacing w:val="9"/>
          <w:sz w:val="24"/>
          <w:szCs w:val="24"/>
        </w:rPr>
        <w:t>审查办法》、《人胚</w:t>
      </w:r>
      <w:r>
        <w:rPr>
          <w:rFonts w:hint="eastAsia" w:ascii="宋体" w:hAnsi="宋体" w:eastAsia="宋体" w:cs="宋体"/>
          <w:spacing w:val="1"/>
          <w:sz w:val="24"/>
          <w:szCs w:val="24"/>
        </w:rPr>
        <w:t>胎干细胞研究伦理指导原</w:t>
      </w:r>
      <w:r>
        <w:rPr>
          <w:rFonts w:hint="eastAsia" w:ascii="宋体" w:hAnsi="宋体" w:eastAsia="宋体" w:cs="宋体"/>
          <w:spacing w:val="9"/>
          <w:sz w:val="24"/>
          <w:szCs w:val="24"/>
        </w:rPr>
        <w:t>则》、《中华</w:t>
      </w:r>
      <w:r>
        <w:rPr>
          <w:rFonts w:hint="eastAsia" w:ascii="宋体" w:hAnsi="宋体" w:eastAsia="宋体" w:cs="宋体"/>
          <w:spacing w:val="1"/>
          <w:sz w:val="24"/>
          <w:szCs w:val="24"/>
        </w:rPr>
        <w:t>人民共和国人类遗传资源管理条例</w:t>
      </w:r>
      <w:r>
        <w:rPr>
          <w:rFonts w:hint="eastAsia" w:ascii="宋体" w:hAnsi="宋体" w:eastAsia="宋体" w:cs="宋体"/>
          <w:spacing w:val="21"/>
          <w:sz w:val="24"/>
          <w:szCs w:val="24"/>
        </w:rPr>
        <w:t>》</w:t>
      </w:r>
      <w:r>
        <w:rPr>
          <w:rFonts w:hint="eastAsia" w:ascii="宋体" w:hAnsi="宋体" w:eastAsia="宋体" w:cs="宋体"/>
          <w:spacing w:val="-24"/>
          <w:sz w:val="24"/>
          <w:szCs w:val="24"/>
        </w:rPr>
        <w:t xml:space="preserve"> </w:t>
      </w:r>
      <w:r>
        <w:rPr>
          <w:rFonts w:hint="eastAsia" w:ascii="宋体" w:hAnsi="宋体" w:eastAsia="宋体" w:cs="宋体"/>
          <w:spacing w:val="21"/>
          <w:sz w:val="24"/>
          <w:szCs w:val="24"/>
        </w:rPr>
        <w:t>、《</w:t>
      </w:r>
      <w:r>
        <w:rPr>
          <w:rFonts w:hint="eastAsia" w:ascii="宋体" w:hAnsi="宋体" w:eastAsia="宋体" w:cs="宋体"/>
          <w:spacing w:val="1"/>
          <w:sz w:val="24"/>
          <w:szCs w:val="24"/>
        </w:rPr>
        <w:t>人类遗传资源管理条例实施细则</w:t>
      </w:r>
      <w:r>
        <w:rPr>
          <w:rFonts w:hint="eastAsia" w:ascii="宋体" w:hAnsi="宋体" w:eastAsia="宋体" w:cs="宋体"/>
          <w:spacing w:val="21"/>
          <w:sz w:val="24"/>
          <w:szCs w:val="24"/>
        </w:rPr>
        <w:t>》</w:t>
      </w:r>
      <w:r>
        <w:rPr>
          <w:rFonts w:hint="eastAsia" w:ascii="宋体" w:hAnsi="宋体" w:eastAsia="宋体" w:cs="宋体"/>
          <w:spacing w:val="-42"/>
          <w:sz w:val="24"/>
          <w:szCs w:val="24"/>
        </w:rPr>
        <w:t xml:space="preserve"> </w:t>
      </w:r>
      <w:r>
        <w:rPr>
          <w:rFonts w:hint="eastAsia" w:ascii="宋体" w:hAnsi="宋体" w:eastAsia="宋体" w:cs="宋体"/>
          <w:spacing w:val="21"/>
          <w:sz w:val="24"/>
          <w:szCs w:val="24"/>
        </w:rPr>
        <w:t>、《</w:t>
      </w:r>
      <w:r>
        <w:rPr>
          <w:rFonts w:hint="eastAsia" w:ascii="宋体" w:hAnsi="宋体" w:eastAsia="宋体" w:cs="宋体"/>
          <w:spacing w:val="1"/>
          <w:sz w:val="24"/>
          <w:szCs w:val="24"/>
        </w:rPr>
        <w:t>中华人民共和国生物安全法》</w:t>
      </w:r>
      <w:r>
        <w:rPr>
          <w:rFonts w:hint="eastAsia" w:ascii="宋体" w:hAnsi="宋体" w:eastAsia="宋体" w:cs="宋体"/>
          <w:spacing w:val="-26"/>
          <w:sz w:val="24"/>
          <w:szCs w:val="24"/>
        </w:rPr>
        <w:t xml:space="preserve"> </w:t>
      </w:r>
      <w:r>
        <w:rPr>
          <w:rFonts w:hint="eastAsia" w:ascii="宋体" w:hAnsi="宋体" w:eastAsia="宋体" w:cs="宋体"/>
          <w:spacing w:val="1"/>
          <w:sz w:val="24"/>
          <w:szCs w:val="24"/>
        </w:rPr>
        <w:t>和《药物临床试验质量管理规范》或《医疗器械临床试验质量管理规范》等</w:t>
      </w:r>
      <w:r>
        <w:rPr>
          <w:rFonts w:hint="eastAsia" w:ascii="宋体" w:hAnsi="宋体" w:eastAsia="宋体" w:cs="宋体"/>
          <w:sz w:val="24"/>
          <w:szCs w:val="24"/>
        </w:rPr>
        <w:t xml:space="preserve"> </w:t>
      </w:r>
      <w:r>
        <w:rPr>
          <w:rFonts w:hint="eastAsia" w:ascii="宋体" w:hAnsi="宋体" w:eastAsia="宋体" w:cs="宋体"/>
          <w:spacing w:val="2"/>
          <w:sz w:val="24"/>
          <w:szCs w:val="24"/>
        </w:rPr>
        <w:t>国内法律法规以及《赫尔辛基宣言》、《涉及人的健康</w:t>
      </w:r>
      <w:r>
        <w:rPr>
          <w:rFonts w:hint="eastAsia" w:ascii="宋体" w:hAnsi="宋体" w:eastAsia="宋体" w:cs="宋体"/>
          <w:spacing w:val="1"/>
          <w:sz w:val="24"/>
          <w:szCs w:val="24"/>
        </w:rPr>
        <w:t>相关研究国际伦理准则》和</w:t>
      </w:r>
      <w:r>
        <w:rPr>
          <w:rFonts w:hint="eastAsia" w:ascii="宋体" w:hAnsi="宋体" w:eastAsia="宋体" w:cs="宋体"/>
          <w:sz w:val="24"/>
          <w:szCs w:val="24"/>
        </w:rPr>
        <w:t xml:space="preserve"> </w:t>
      </w:r>
      <w:r>
        <w:rPr>
          <w:rFonts w:hint="eastAsia" w:ascii="宋体" w:hAnsi="宋体" w:eastAsia="宋体" w:cs="宋体"/>
          <w:spacing w:val="-1"/>
          <w:sz w:val="24"/>
          <w:szCs w:val="24"/>
        </w:rPr>
        <w:t>《世界人类基因组与人权宣言》等国际指南。</w:t>
      </w:r>
    </w:p>
    <w:p w14:paraId="7E0DE115">
      <w:pPr>
        <w:pStyle w:val="5"/>
        <w:numPr>
          <w:ilvl w:val="0"/>
          <w:numId w:val="0"/>
        </w:numPr>
        <w:spacing w:before="0" w:beforeAutospacing="0" w:after="0" w:afterAutospacing="0" w:line="360" w:lineRule="auto"/>
        <w:jc w:val="both"/>
        <w:rPr>
          <w:rFonts w:hint="eastAsia" w:ascii="宋体" w:hAnsi="宋体" w:eastAsia="宋体" w:cs="宋体"/>
        </w:rPr>
      </w:pPr>
      <w:r>
        <w:rPr>
          <w:rFonts w:hint="eastAsia" w:cs="宋体"/>
          <w:lang w:val="en-US" w:eastAsia="zh-CN"/>
        </w:rPr>
        <w:t>2.</w:t>
      </w:r>
      <w:r>
        <w:rPr>
          <w:rFonts w:hint="eastAsia" w:ascii="宋体" w:hAnsi="宋体" w:eastAsia="宋体" w:cs="宋体"/>
        </w:rPr>
        <w:t>对所提交材料的真实性、合规性、有效性负责，遵守经本伦理审查委员会批准的临床研究方案、知情同意书、招募材料等开展本研究，保护研究参与者的健康与权利。对研究方案、知情同意书和招募材料等的任何修改，均在得到伦理审查委员会审查同意后方再实施。</w:t>
      </w:r>
    </w:p>
    <w:p w14:paraId="3B785BBC">
      <w:pPr>
        <w:pStyle w:val="5"/>
        <w:numPr>
          <w:ilvl w:val="0"/>
          <w:numId w:val="0"/>
        </w:numPr>
        <w:spacing w:before="0" w:beforeAutospacing="0" w:after="0" w:afterAutospacing="0" w:line="360" w:lineRule="auto"/>
        <w:jc w:val="both"/>
        <w:rPr>
          <w:rFonts w:hint="eastAsia" w:cs="宋体"/>
          <w:lang w:val="en-US" w:eastAsia="zh-CN"/>
        </w:rPr>
      </w:pPr>
      <w:r>
        <w:rPr>
          <w:rFonts w:hint="eastAsia" w:cs="宋体"/>
          <w:lang w:val="en-US" w:eastAsia="zh-CN"/>
        </w:rPr>
        <w:t>3.在本院发生的SAE/SUSAR以及研发期间安全性更新报告均按照NMPA/GCP最新要求及时递交本伦理审查委员会，国内外其它中心发生的SAE/SUSAR按要求评估后递交本伦理审查委员会。根据报告情况，本伦理审查委员会有权对其评估做出新的决定。</w:t>
      </w:r>
    </w:p>
    <w:p w14:paraId="76491158">
      <w:pPr>
        <w:pStyle w:val="5"/>
        <w:numPr>
          <w:ilvl w:val="0"/>
          <w:numId w:val="0"/>
        </w:numPr>
        <w:spacing w:before="0" w:beforeAutospacing="0" w:after="0" w:afterAutospacing="0" w:line="360" w:lineRule="auto"/>
        <w:jc w:val="both"/>
        <w:rPr>
          <w:rFonts w:hint="eastAsia" w:cs="宋体"/>
          <w:lang w:val="en-US" w:eastAsia="zh-CN"/>
        </w:rPr>
      </w:pPr>
      <w:r>
        <w:rPr>
          <w:rFonts w:hint="eastAsia" w:cs="宋体"/>
          <w:lang w:val="en-US" w:eastAsia="zh-CN"/>
        </w:rPr>
        <w:t>4.研究过程中发生违背GCP原则和研究方案的情况，及时提交违背方案报告；暂停或提前终止研究，及时提交暂停或终止研究报告；完成研究，及时提交结题报告。</w:t>
      </w:r>
    </w:p>
    <w:p w14:paraId="121D143F">
      <w:pPr>
        <w:pStyle w:val="5"/>
        <w:numPr>
          <w:ilvl w:val="0"/>
          <w:numId w:val="0"/>
        </w:numPr>
        <w:spacing w:before="0" w:beforeAutospacing="0" w:after="0" w:afterAutospacing="0" w:line="360" w:lineRule="auto"/>
        <w:jc w:val="both"/>
        <w:rPr>
          <w:rFonts w:hint="eastAsia" w:cs="宋体"/>
          <w:lang w:val="en-US" w:eastAsia="zh-CN"/>
        </w:rPr>
      </w:pPr>
      <w:r>
        <w:rPr>
          <w:rFonts w:hint="eastAsia" w:cs="宋体"/>
          <w:lang w:val="en-US" w:eastAsia="zh-CN"/>
        </w:rPr>
        <w:t>5.无论研究开始与否，在批件中提示的跟踪审查日期的前1个月提交研究进展报告，得到伦理审查委员会审查同意后再继续进行。</w:t>
      </w:r>
    </w:p>
    <w:p w14:paraId="7AFEA5CB">
      <w:pPr>
        <w:pStyle w:val="5"/>
        <w:numPr>
          <w:ilvl w:val="0"/>
          <w:numId w:val="0"/>
        </w:numPr>
        <w:spacing w:before="0" w:beforeAutospacing="0" w:after="0" w:afterAutospacing="0" w:line="360" w:lineRule="auto"/>
        <w:jc w:val="both"/>
        <w:rPr>
          <w:rFonts w:hint="eastAsia" w:cs="宋体"/>
          <w:lang w:val="en-US" w:eastAsia="zh-CN"/>
        </w:rPr>
      </w:pPr>
      <w:r>
        <w:rPr>
          <w:rFonts w:hint="eastAsia" w:cs="宋体"/>
          <w:lang w:val="en-US" w:eastAsia="zh-CN"/>
        </w:rPr>
        <w:t>6.采集、保藏、利用、对外提供我国人类遗传资源，遵守中华人民共和国人类遗传资源管理条例。</w:t>
      </w:r>
    </w:p>
    <w:p w14:paraId="0367A828">
      <w:pPr>
        <w:pStyle w:val="5"/>
        <w:numPr>
          <w:ilvl w:val="0"/>
          <w:numId w:val="0"/>
        </w:numPr>
        <w:spacing w:before="0" w:beforeAutospacing="0" w:after="0" w:afterAutospacing="0" w:line="360" w:lineRule="auto"/>
        <w:jc w:val="both"/>
        <w:rPr>
          <w:rFonts w:hint="eastAsia" w:cs="宋体"/>
          <w:lang w:val="en-US" w:eastAsia="zh-CN"/>
        </w:rPr>
      </w:pPr>
      <w:r>
        <w:rPr>
          <w:rFonts w:hint="eastAsia" w:cs="宋体"/>
          <w:lang w:val="en-US" w:eastAsia="zh-CN"/>
        </w:rPr>
        <w:t>7.经本伦理审查委员会批准的研究项目在实施前，按相关规定在国家卫健委、药审中心等的临床研究登记备案信息系统平台登记研究项目相关信息。</w:t>
      </w:r>
    </w:p>
    <w:p w14:paraId="14BE96BD">
      <w:pPr>
        <w:pStyle w:val="5"/>
        <w:numPr>
          <w:ilvl w:val="0"/>
          <w:numId w:val="0"/>
        </w:numPr>
        <w:spacing w:before="0" w:beforeAutospacing="0" w:after="0" w:afterAutospacing="0" w:line="360" w:lineRule="auto"/>
        <w:jc w:val="both"/>
        <w:rPr>
          <w:rFonts w:hint="eastAsia" w:ascii="宋体" w:hAnsi="宋体" w:eastAsia="宋体" w:cs="宋体"/>
          <w:color w:val="000000"/>
          <w:sz w:val="24"/>
          <w:szCs w:val="24"/>
          <w:lang w:val="en-US" w:eastAsia="zh-CN" w:bidi="ar-SA"/>
        </w:rPr>
      </w:pPr>
      <w:r>
        <w:rPr>
          <w:rFonts w:hint="eastAsia" w:ascii="宋体" w:hAnsi="宋体" w:cs="宋体"/>
          <w:color w:val="000000"/>
          <w:sz w:val="24"/>
          <w:szCs w:val="24"/>
          <w:lang w:val="en-US" w:eastAsia="zh-CN" w:bidi="ar-SA"/>
        </w:rPr>
        <w:t>8.</w:t>
      </w:r>
      <w:r>
        <w:rPr>
          <w:rFonts w:hint="eastAsia" w:ascii="宋体" w:hAnsi="宋体" w:eastAsia="宋体" w:cs="宋体"/>
          <w:color w:val="000000"/>
          <w:sz w:val="24"/>
          <w:szCs w:val="24"/>
          <w:lang w:val="en-US" w:eastAsia="zh-CN" w:bidi="ar-SA"/>
        </w:rPr>
        <w:t>负责本研究全过程中的质量保证，加强对其他研究者的培训和管理，承诺临床研究数据真实可靠，操作规范。</w:t>
      </w:r>
    </w:p>
    <w:p w14:paraId="746368CE">
      <w:pPr>
        <w:pStyle w:val="5"/>
        <w:numPr>
          <w:ilvl w:val="0"/>
          <w:numId w:val="0"/>
        </w:numPr>
        <w:spacing w:before="0" w:beforeAutospacing="0" w:after="0" w:afterAutospacing="0" w:line="360" w:lineRule="auto"/>
        <w:jc w:val="both"/>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9.保守研究对象的个人隐私，做好保密工作。研究过程保存精确记录，所有原始数据相关文件材料要档案保管，药物临床试验至少在研究结束后保管5年，医疗器械临床试验至少在研究结束或者终止后保管10年。</w:t>
      </w:r>
    </w:p>
    <w:p w14:paraId="2C7BADDC">
      <w:pPr>
        <w:spacing w:line="360" w:lineRule="auto"/>
        <w:jc w:val="center"/>
        <w:rPr>
          <w:rFonts w:hint="eastAsia" w:ascii="宋体" w:hAnsi="宋体" w:eastAsia="宋体" w:cs="宋体"/>
          <w:bCs/>
          <w:color w:val="000000"/>
          <w:sz w:val="24"/>
          <w:szCs w:val="24"/>
        </w:rPr>
      </w:pPr>
      <w:r>
        <w:rPr>
          <w:rFonts w:hint="eastAsia" w:ascii="宋体" w:hAnsi="宋体" w:eastAsia="宋体" w:cs="宋体"/>
          <w:b/>
          <w:bCs/>
          <w:color w:val="000000"/>
          <w:sz w:val="24"/>
          <w:szCs w:val="24"/>
        </w:rPr>
        <w:t xml:space="preserve">                             </w:t>
      </w:r>
      <w:r>
        <w:rPr>
          <w:rFonts w:hint="eastAsia" w:ascii="宋体" w:hAnsi="宋体" w:cs="宋体"/>
          <w:b/>
          <w:bCs/>
          <w:color w:val="000000"/>
          <w:sz w:val="24"/>
          <w:szCs w:val="24"/>
          <w:lang w:val="en-US" w:eastAsia="zh-CN"/>
        </w:rPr>
        <w:t xml:space="preserve">     </w:t>
      </w:r>
      <w:r>
        <w:rPr>
          <w:rFonts w:hint="eastAsia" w:ascii="宋体" w:hAnsi="宋体" w:eastAsia="宋体" w:cs="宋体"/>
          <w:b/>
          <w:bCs/>
          <w:color w:val="000000"/>
          <w:sz w:val="24"/>
          <w:szCs w:val="24"/>
        </w:rPr>
        <w:t xml:space="preserve"> </w:t>
      </w:r>
      <w:r>
        <w:rPr>
          <w:rFonts w:hint="eastAsia" w:ascii="宋体" w:hAnsi="宋体" w:eastAsia="宋体" w:cs="宋体"/>
          <w:bCs/>
          <w:color w:val="000000"/>
          <w:sz w:val="24"/>
          <w:szCs w:val="24"/>
        </w:rPr>
        <w:t xml:space="preserve">  </w:t>
      </w:r>
    </w:p>
    <w:p w14:paraId="6768BD4C">
      <w:pPr>
        <w:spacing w:line="360" w:lineRule="auto"/>
        <w:jc w:val="center"/>
        <w:rPr>
          <w:rFonts w:hint="eastAsia" w:ascii="宋体" w:hAnsi="宋体" w:eastAsia="宋体" w:cs="宋体"/>
          <w:bCs/>
          <w:color w:val="000000"/>
          <w:sz w:val="24"/>
          <w:szCs w:val="24"/>
        </w:rPr>
      </w:pPr>
      <w:r>
        <w:rPr>
          <w:rFonts w:hint="eastAsia" w:ascii="宋体" w:hAnsi="宋体" w:cs="宋体"/>
          <w:bCs/>
          <w:color w:val="000000"/>
          <w:sz w:val="24"/>
          <w:szCs w:val="24"/>
          <w:lang w:val="en-US" w:eastAsia="zh-CN"/>
        </w:rPr>
        <w:t xml:space="preserve">                                      </w:t>
      </w:r>
      <w:r>
        <w:rPr>
          <w:rFonts w:hint="eastAsia" w:ascii="宋体" w:hAnsi="宋体" w:eastAsia="宋体" w:cs="宋体"/>
          <w:bCs/>
          <w:color w:val="000000"/>
          <w:sz w:val="24"/>
          <w:szCs w:val="24"/>
        </w:rPr>
        <w:t xml:space="preserve">主要研究者：   </w:t>
      </w:r>
    </w:p>
    <w:p w14:paraId="693D10AC">
      <w:pPr>
        <w:spacing w:line="360" w:lineRule="auto"/>
        <w:jc w:val="center"/>
      </w:pPr>
      <w:r>
        <w:rPr>
          <w:rFonts w:hint="eastAsia" w:ascii="宋体" w:hAnsi="宋体" w:eastAsia="宋体" w:cs="宋体"/>
          <w:bCs/>
          <w:color w:val="000000"/>
          <w:sz w:val="24"/>
          <w:szCs w:val="24"/>
        </w:rPr>
        <w:t xml:space="preserve">                                     日     期</w:t>
      </w:r>
      <w:r>
        <w:rPr>
          <w:rFonts w:hint="eastAsia" w:ascii="宋体" w:hAnsi="宋体" w:cs="宋体"/>
          <w:bCs/>
          <w:color w:val="000000"/>
          <w:sz w:val="24"/>
          <w:szCs w:val="24"/>
          <w:lang w:eastAsia="zh-CN"/>
        </w:rPr>
        <w:t>：</w:t>
      </w:r>
    </w:p>
    <w:sectPr>
      <w:headerReference r:id="rId3" w:type="default"/>
      <w:footerReference r:id="rId4" w:type="default"/>
      <w:pgSz w:w="11906" w:h="16838"/>
      <w:pgMar w:top="1440" w:right="1800" w:bottom="1440" w:left="1800" w:header="851" w:footer="992" w:gutter="0"/>
      <w:pgBorders>
        <w:top w:val="none" w:sz="0" w:space="0"/>
        <w:left w:val="none" w:sz="0" w:space="0"/>
        <w:bottom w:val="single" w:color="auto" w:sz="4" w:space="1"/>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CAF3">
    <w:pPr>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68E365D">
                          <w:pPr>
                            <w:pStyle w:val="3"/>
                            <w:pBdr>
                              <w:top w:val="none" w:color="auto" w:sz="0" w:space="1"/>
                              <w:left w:val="none" w:color="auto" w:sz="0" w:space="4"/>
                              <w:bottom w:val="none" w:color="auto" w:sz="0" w:space="1"/>
                              <w:right w:val="none" w:color="auto" w:sz="0" w:space="4"/>
                              <w:between w:val="none" w:color="auto" w:sz="0" w:space="0"/>
                            </w:pBdr>
                            <w:rPr>
                              <w:sz w:val="21"/>
                              <w:szCs w:val="22"/>
                            </w:rPr>
                          </w:pPr>
                          <w:r>
                            <w:rPr>
                              <w:sz w:val="21"/>
                              <w:szCs w:val="22"/>
                            </w:rPr>
                            <w:t xml:space="preserve">第 </w:t>
                          </w:r>
                          <w:r>
                            <w:rPr>
                              <w:sz w:val="21"/>
                              <w:szCs w:val="22"/>
                            </w:rPr>
                            <w:fldChar w:fldCharType="begin"/>
                          </w:r>
                          <w:r>
                            <w:rPr>
                              <w:sz w:val="21"/>
                              <w:szCs w:val="22"/>
                            </w:rPr>
                            <w:instrText xml:space="preserve"> PAGE  \* MERGEFORMAT </w:instrText>
                          </w:r>
                          <w:r>
                            <w:rPr>
                              <w:sz w:val="21"/>
                              <w:szCs w:val="22"/>
                            </w:rPr>
                            <w:fldChar w:fldCharType="separate"/>
                          </w:r>
                          <w:r>
                            <w:rPr>
                              <w:sz w:val="21"/>
                              <w:szCs w:val="22"/>
                            </w:rPr>
                            <w:t>1</w:t>
                          </w:r>
                          <w:r>
                            <w:rPr>
                              <w:sz w:val="21"/>
                              <w:szCs w:val="22"/>
                            </w:rPr>
                            <w:fldChar w:fldCharType="end"/>
                          </w:r>
                          <w:r>
                            <w:rPr>
                              <w:sz w:val="21"/>
                              <w:szCs w:val="22"/>
                            </w:rPr>
                            <w:t xml:space="preserve"> 页 共 </w:t>
                          </w:r>
                          <w:r>
                            <w:rPr>
                              <w:sz w:val="21"/>
                              <w:szCs w:val="22"/>
                            </w:rPr>
                            <w:fldChar w:fldCharType="begin"/>
                          </w:r>
                          <w:r>
                            <w:rPr>
                              <w:sz w:val="21"/>
                              <w:szCs w:val="22"/>
                            </w:rPr>
                            <w:instrText xml:space="preserve"> NUMPAGES  \* MERGEFORMAT </w:instrText>
                          </w:r>
                          <w:r>
                            <w:rPr>
                              <w:sz w:val="21"/>
                              <w:szCs w:val="22"/>
                            </w:rPr>
                            <w:fldChar w:fldCharType="separate"/>
                          </w:r>
                          <w:r>
                            <w:rPr>
                              <w:sz w:val="21"/>
                              <w:szCs w:val="22"/>
                            </w:rPr>
                            <w:t>2</w:t>
                          </w:r>
                          <w:r>
                            <w:rPr>
                              <w:sz w:val="21"/>
                              <w:szCs w:val="22"/>
                            </w:rPr>
                            <w:fldChar w:fldCharType="end"/>
                          </w:r>
                          <w:r>
                            <w:rPr>
                              <w:sz w:val="21"/>
                              <w:szCs w:val="22"/>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568E365D">
                    <w:pPr>
                      <w:pStyle w:val="3"/>
                      <w:pBdr>
                        <w:top w:val="none" w:color="auto" w:sz="0" w:space="1"/>
                        <w:left w:val="none" w:color="auto" w:sz="0" w:space="4"/>
                        <w:bottom w:val="none" w:color="auto" w:sz="0" w:space="1"/>
                        <w:right w:val="none" w:color="auto" w:sz="0" w:space="4"/>
                        <w:between w:val="none" w:color="auto" w:sz="0" w:space="0"/>
                      </w:pBdr>
                      <w:rPr>
                        <w:sz w:val="21"/>
                        <w:szCs w:val="22"/>
                      </w:rPr>
                    </w:pPr>
                    <w:r>
                      <w:rPr>
                        <w:sz w:val="21"/>
                        <w:szCs w:val="22"/>
                      </w:rPr>
                      <w:t xml:space="preserve">第 </w:t>
                    </w:r>
                    <w:r>
                      <w:rPr>
                        <w:sz w:val="21"/>
                        <w:szCs w:val="22"/>
                      </w:rPr>
                      <w:fldChar w:fldCharType="begin"/>
                    </w:r>
                    <w:r>
                      <w:rPr>
                        <w:sz w:val="21"/>
                        <w:szCs w:val="22"/>
                      </w:rPr>
                      <w:instrText xml:space="preserve"> PAGE  \* MERGEFORMAT </w:instrText>
                    </w:r>
                    <w:r>
                      <w:rPr>
                        <w:sz w:val="21"/>
                        <w:szCs w:val="22"/>
                      </w:rPr>
                      <w:fldChar w:fldCharType="separate"/>
                    </w:r>
                    <w:r>
                      <w:rPr>
                        <w:sz w:val="21"/>
                        <w:szCs w:val="22"/>
                      </w:rPr>
                      <w:t>1</w:t>
                    </w:r>
                    <w:r>
                      <w:rPr>
                        <w:sz w:val="21"/>
                        <w:szCs w:val="22"/>
                      </w:rPr>
                      <w:fldChar w:fldCharType="end"/>
                    </w:r>
                    <w:r>
                      <w:rPr>
                        <w:sz w:val="21"/>
                        <w:szCs w:val="22"/>
                      </w:rPr>
                      <w:t xml:space="preserve"> 页 共 </w:t>
                    </w:r>
                    <w:r>
                      <w:rPr>
                        <w:sz w:val="21"/>
                        <w:szCs w:val="22"/>
                      </w:rPr>
                      <w:fldChar w:fldCharType="begin"/>
                    </w:r>
                    <w:r>
                      <w:rPr>
                        <w:sz w:val="21"/>
                        <w:szCs w:val="22"/>
                      </w:rPr>
                      <w:instrText xml:space="preserve"> NUMPAGES  \* MERGEFORMAT </w:instrText>
                    </w:r>
                    <w:r>
                      <w:rPr>
                        <w:sz w:val="21"/>
                        <w:szCs w:val="22"/>
                      </w:rPr>
                      <w:fldChar w:fldCharType="separate"/>
                    </w:r>
                    <w:r>
                      <w:rPr>
                        <w:sz w:val="21"/>
                        <w:szCs w:val="22"/>
                      </w:rPr>
                      <w:t>2</w:t>
                    </w:r>
                    <w:r>
                      <w:rPr>
                        <w:sz w:val="21"/>
                        <w:szCs w:val="22"/>
                      </w:rPr>
                      <w:fldChar w:fldCharType="end"/>
                    </w:r>
                    <w:r>
                      <w:rPr>
                        <w:sz w:val="21"/>
                        <w:szCs w:val="22"/>
                      </w:rPr>
                      <w:t xml:space="preserve"> 页</w:t>
                    </w:r>
                  </w:p>
                </w:txbxContent>
              </v:textbox>
            </v:shape>
          </w:pict>
        </mc:Fallback>
      </mc:AlternateContent>
    </w:r>
    <w:r>
      <w:rPr>
        <w:rFonts w:hint="default" w:ascii="Times New Roman" w:hAnsi="Times New Roman" w:cs="Times New Roman"/>
        <w:sz w:val="21"/>
        <w:szCs w:val="21"/>
        <w:lang w:val="en-US" w:eastAsia="zh-CN"/>
      </w:rPr>
      <w:t>V1.0 / 2026.04.10</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ECAF3">
    <w:pPr>
      <w:pStyle w:val="4"/>
      <w:pBdr>
        <w:bottom w:val="single" w:color="auto" w:sz="4" w:space="1"/>
      </w:pBdr>
      <w:rPr>
        <w:rFonts w:hint="default" w:eastAsia="宋体"/>
        <w:sz w:val="20"/>
        <w:szCs w:val="21"/>
        <w:lang w:val="en-US" w:eastAsia="zh-CN"/>
      </w:rPr>
    </w:pPr>
    <w:r>
      <w:rPr>
        <w:rFonts w:hint="eastAsia"/>
      </w:rPr>
      <w:drawing>
        <wp:inline distT="0" distB="0" distL="114300" distR="114300">
          <wp:extent cx="1800225" cy="274955"/>
          <wp:effectExtent l="0" t="0" r="9525" b="10795"/>
          <wp:docPr id="1" name="图片 45" descr="C:\Users\YWK\Desktop\温州医科大学附属康宁医院-中英文-横.png温州医科大学附属康宁医院-中英文-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5" descr="C:\Users\YWK\Desktop\温州医科大学附属康宁医院-中英文-横.png温州医科大学附属康宁医院-中英文-横"/>
                  <pic:cNvPicPr>
                    <a:picLocks noChangeAspect="1"/>
                  </pic:cNvPicPr>
                </pic:nvPicPr>
                <pic:blipFill>
                  <a:blip r:embed="rId1"/>
                  <a:srcRect/>
                  <a:stretch>
                    <a:fillRect/>
                  </a:stretch>
                </pic:blipFill>
                <pic:spPr>
                  <a:xfrm>
                    <a:off x="0" y="0"/>
                    <a:ext cx="1800225" cy="274955"/>
                  </a:xfrm>
                  <a:prstGeom prst="rect">
                    <a:avLst/>
                  </a:prstGeom>
                </pic:spPr>
              </pic:pic>
            </a:graphicData>
          </a:graphic>
        </wp:inline>
      </w:drawing>
    </w:r>
    <w:r>
      <w:rPr>
        <w:rFonts w:hint="eastAsia"/>
        <w:lang w:val="en-US" w:eastAsia="zh-CN"/>
      </w:rPr>
      <w:t xml:space="preserve">                                   </w:t>
    </w:r>
    <w:bookmarkStart w:id="0" w:name="_GoBack"/>
    <w:bookmarkEnd w:id="0"/>
    <w:r>
      <w:rPr>
        <w:rFonts w:hint="eastAsia"/>
        <w:sz w:val="21"/>
        <w:szCs w:val="22"/>
        <w:lang w:val="en-US" w:eastAsia="zh-CN"/>
      </w:rPr>
      <w:t xml:space="preserve">文件编号：AF/SQ-13/01.0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s>
  <w:rsids>
    <w:rsidRoot w:val="00000000"/>
    <w:rsid w:val="00B52690"/>
    <w:rsid w:val="09C43C60"/>
    <w:rsid w:val="09DB5EB7"/>
    <w:rsid w:val="0BB91287"/>
    <w:rsid w:val="148F6455"/>
    <w:rsid w:val="181D3326"/>
    <w:rsid w:val="1B9F17DD"/>
    <w:rsid w:val="1F9B6D5D"/>
    <w:rsid w:val="2D104627"/>
    <w:rsid w:val="30120910"/>
    <w:rsid w:val="315C42DF"/>
    <w:rsid w:val="32CE2FBA"/>
    <w:rsid w:val="35101668"/>
    <w:rsid w:val="38FE6806"/>
    <w:rsid w:val="3C4D31A2"/>
    <w:rsid w:val="3CE06329"/>
    <w:rsid w:val="3D994ABB"/>
    <w:rsid w:val="3FFA61A0"/>
    <w:rsid w:val="4269685C"/>
    <w:rsid w:val="463A4797"/>
    <w:rsid w:val="47BB36B5"/>
    <w:rsid w:val="53E126F6"/>
    <w:rsid w:val="62C6557E"/>
    <w:rsid w:val="63B23767"/>
    <w:rsid w:val="64EF492C"/>
    <w:rsid w:val="653B6133"/>
    <w:rsid w:val="6D421585"/>
    <w:rsid w:val="772F467F"/>
    <w:rsid w:val="77334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spacing w:before="100" w:beforeAutospacing="1" w:after="100" w:afterAutospacing="1"/>
    </w:pPr>
    <w:rPr>
      <w:rFonts w:ascii="宋体" w:hAnsi="宋体"/>
      <w:color w:val="000000"/>
      <w:sz w:val="24"/>
      <w:szCs w:val="24"/>
    </w:rPr>
  </w:style>
  <w:style w:type="character" w:styleId="8">
    <w:name w:val="page number"/>
    <w:basedOn w:val="7"/>
    <w:unhideWhenUsed/>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850</Words>
  <Characters>936</Characters>
  <Lines>0</Lines>
  <Paragraphs>0</Paragraphs>
  <TotalTime>1</TotalTime>
  <ScaleCrop>false</ScaleCrop>
  <LinksUpToDate>false</LinksUpToDate>
  <CharactersWithSpaces>1061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2022-02-28T07:45:00Z</dcterms:created>
  <dc:creator>Administrator</dc:creator>
  <cp:lastModifiedBy>泉</cp:lastModifiedBy>
  <dcterms:modified xsi:type="dcterms:W3CDTF">2026-04-04T07:40:23Z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32013787CD88447CA795C15BEE9DAF6F</vt:lpwstr>
  </property>
  <property fmtid="{D5CDD505-2E9C-101B-9397-08002B2CF9AE}" pid="4" name="KSOTemplateDocerSaveRecord">
    <vt:lpwstr>eyJoZGlkIjoiZjFmZWIzNDg2MmIzZjExOTIzMmViNTBmYTMwYTk0ZWYiLCJ1c2VySWQiOiIyMzg0NDc2NDUifQ==</vt:lpwstr>
  </property>
</Properties>
</file>